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9BB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center"/>
        <w:textAlignment w:val="auto"/>
        <w:rPr>
          <w:rFonts w:hint="eastAsia" w:ascii="Times New Roman" w:hAnsi="Times New Roman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position w:val="-3"/>
          <w:sz w:val="28"/>
          <w:szCs w:val="28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8255</wp:posOffset>
            </wp:positionH>
            <wp:positionV relativeFrom="paragraph">
              <wp:posOffset>162560</wp:posOffset>
            </wp:positionV>
            <wp:extent cx="5243195" cy="132080"/>
            <wp:effectExtent l="0" t="0" r="14605" b="1270"/>
            <wp:wrapThrough wrapText="bothSides">
              <wp:wrapPolygon>
                <wp:start x="0" y="0"/>
                <wp:lineTo x="0" y="18692"/>
                <wp:lineTo x="21503" y="18692"/>
                <wp:lineTo x="21503" y="0"/>
                <wp:lineTo x="0" y="0"/>
              </wp:wrapPolygon>
            </wp:wrapThrough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43195" cy="132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Theme="minorEastAsia" w:cstheme="minorEastAsia"/>
          <w:b/>
          <w:bCs/>
          <w:sz w:val="32"/>
          <w:szCs w:val="32"/>
          <w:lang w:val="en-US" w:eastAsia="zh-CN"/>
        </w:rPr>
        <w:t>Yeast Genomic DNA Extraction Kit Instruction Manual</w:t>
      </w:r>
    </w:p>
    <w:p w14:paraId="47B2A1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Times New Roman" w:hAnsi="Times New Roman" w:eastAsiaTheme="minorEastAsia" w:cstheme="minorEastAsia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sz w:val="36"/>
          <w:szCs w:val="36"/>
          <w:lang w:val="en-US" w:eastAsia="zh-CN"/>
        </w:rPr>
        <w:t>酵母基因组提取试剂盒说明书</w:t>
      </w:r>
    </w:p>
    <w:p w14:paraId="5BE17E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center"/>
        <w:textAlignment w:val="auto"/>
        <w:rPr>
          <w:rFonts w:hint="eastAsia" w:ascii="Times New Roman" w:hAnsi="Times New Roman" w:eastAsiaTheme="minorEastAsia" w:cstheme="minorEastAsia"/>
          <w:b/>
          <w:bCs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b/>
          <w:bCs/>
          <w:sz w:val="30"/>
          <w:szCs w:val="30"/>
          <w:lang w:val="en-US" w:eastAsia="zh-CN"/>
        </w:rPr>
        <w:t>（离心柱型）</w:t>
      </w:r>
    </w:p>
    <w:p w14:paraId="3CDC10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center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28"/>
          <w:szCs w:val="28"/>
        </w:rPr>
      </w:pPr>
    </w:p>
    <w:p w14:paraId="3F5099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</w:rPr>
        <w:t>一、产品名称</w:t>
      </w:r>
    </w:p>
    <w:p w14:paraId="2CE5CF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textAlignment w:val="auto"/>
        <w:rPr>
          <w:rFonts w:hint="eastAsia" w:ascii="Times New Roman" w:hAnsi="Times New Roman" w:eastAsiaTheme="minorEastAsia" w:cstheme="minorEastAsia"/>
          <w:sz w:val="28"/>
          <w:szCs w:val="28"/>
          <w:lang w:eastAsia="zh-CN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  <w:lang w:eastAsia="zh-CN"/>
        </w:rPr>
        <w:t>中文名称：酵母基因组提取试剂盒</w:t>
      </w:r>
    </w:p>
    <w:p w14:paraId="1AF0C7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textAlignment w:val="auto"/>
        <w:rPr>
          <w:rFonts w:hint="eastAsia" w:ascii="Times New Roman" w:hAnsi="Times New Roman" w:eastAsiaTheme="minorEastAsia" w:cstheme="minorEastAsia"/>
          <w:b w:val="0"/>
          <w:color w:val="000000"/>
          <w:sz w:val="28"/>
          <w:szCs w:val="28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  <w:lang w:eastAsia="zh-CN"/>
        </w:rPr>
        <w:t>货号：</w:t>
      </w:r>
      <w:r>
        <w:rPr>
          <w:rFonts w:hint="eastAsia" w:ascii="Times New Roman" w:hAnsi="Times New Roman" w:eastAsiaTheme="minorEastAsia" w:cstheme="minorEastAsia"/>
          <w:b w:val="0"/>
          <w:color w:val="000000"/>
          <w:sz w:val="28"/>
          <w:szCs w:val="28"/>
          <w:lang w:val="en-US" w:eastAsia="zh-CN"/>
        </w:rPr>
        <w:fldChar w:fldCharType="begin"/>
      </w:r>
      <w:r>
        <w:rPr>
          <w:rFonts w:hint="eastAsia" w:ascii="Times New Roman" w:hAnsi="Times New Roman" w:eastAsiaTheme="minorEastAsia" w:cstheme="minorEastAsia"/>
          <w:b w:val="0"/>
          <w:color w:val="000000"/>
          <w:sz w:val="28"/>
          <w:szCs w:val="28"/>
          <w:lang w:val="en-US" w:eastAsia="zh-CN"/>
        </w:rPr>
        <w:instrText xml:space="preserve"> HYPERLINK "http://123.60.134.251:8088/kitproduct_info/14983" </w:instrText>
      </w:r>
      <w:r>
        <w:rPr>
          <w:rFonts w:hint="eastAsia" w:ascii="Times New Roman" w:hAnsi="Times New Roman" w:eastAsiaTheme="minorEastAsia" w:cstheme="minorEastAsia"/>
          <w:b w:val="0"/>
          <w:color w:val="000000"/>
          <w:sz w:val="28"/>
          <w:szCs w:val="28"/>
          <w:lang w:val="en-US" w:eastAsia="zh-CN"/>
        </w:rPr>
        <w:fldChar w:fldCharType="separate"/>
      </w:r>
      <w:r>
        <w:rPr>
          <w:rFonts w:hint="eastAsia" w:ascii="Times New Roman" w:hAnsi="Times New Roman" w:eastAsiaTheme="minorEastAsia" w:cstheme="minorEastAsia"/>
          <w:b w:val="0"/>
          <w:color w:val="000000"/>
          <w:sz w:val="28"/>
          <w:szCs w:val="28"/>
          <w:lang w:val="en-US" w:eastAsia="zh-CN"/>
        </w:rPr>
        <w:t>HS718568</w:t>
      </w:r>
      <w:r>
        <w:rPr>
          <w:rFonts w:hint="eastAsia" w:ascii="Times New Roman" w:hAnsi="Times New Roman" w:eastAsiaTheme="minorEastAsia" w:cstheme="minorEastAsia"/>
          <w:b w:val="0"/>
          <w:color w:val="000000"/>
          <w:sz w:val="28"/>
          <w:szCs w:val="28"/>
          <w:lang w:val="en-US" w:eastAsia="zh-CN"/>
        </w:rPr>
        <w:fldChar w:fldCharType="end"/>
      </w:r>
      <w:r>
        <w:rPr>
          <w:rFonts w:hint="eastAsia" w:ascii="Times New Roman" w:hAnsi="Times New Roman" w:eastAsiaTheme="minorEastAsia" w:cstheme="minorEastAsia"/>
          <w:b w:val="0"/>
          <w:color w:val="000000"/>
          <w:sz w:val="28"/>
          <w:szCs w:val="28"/>
          <w:lang w:val="en-US" w:eastAsia="zh-CN"/>
        </w:rPr>
        <w:t>A（50次）</w:t>
      </w:r>
    </w:p>
    <w:p w14:paraId="7B32AC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textAlignment w:val="auto"/>
        <w:rPr>
          <w:rFonts w:hint="eastAsia" w:ascii="Times New Roman" w:hAnsi="Times New Roman" w:eastAsiaTheme="minorEastAsia" w:cstheme="minorEastAsia"/>
          <w:b w:val="0"/>
          <w:color w:val="000000"/>
          <w:sz w:val="28"/>
          <w:szCs w:val="28"/>
          <w:lang w:val="en-US" w:eastAsia="zh-CN"/>
        </w:rPr>
      </w:pPr>
    </w:p>
    <w:p w14:paraId="2C4A09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</w:rPr>
        <w:t>二、</w:t>
      </w: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产品内容</w:t>
      </w:r>
    </w:p>
    <w:tbl>
      <w:tblPr>
        <w:tblStyle w:val="6"/>
        <w:tblW w:w="8678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5"/>
        <w:gridCol w:w="1930"/>
        <w:gridCol w:w="1893"/>
        <w:gridCol w:w="2160"/>
      </w:tblGrid>
      <w:tr w14:paraId="58BCB7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695" w:type="dxa"/>
            <w:tcBorders>
              <w:bottom w:val="single" w:color="000000" w:sz="4" w:space="0"/>
              <w:tl2br w:val="nil"/>
              <w:tr2bl w:val="nil"/>
            </w:tcBorders>
            <w:noWrap w:val="0"/>
            <w:vAlign w:val="center"/>
          </w:tcPr>
          <w:p w14:paraId="5CAD1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t>货号</w:t>
            </w:r>
          </w:p>
        </w:tc>
        <w:tc>
          <w:tcPr>
            <w:tcW w:w="1930" w:type="dxa"/>
            <w:tcBorders>
              <w:bottom w:val="single" w:color="000000" w:sz="4" w:space="0"/>
              <w:tl2br w:val="nil"/>
              <w:tr2bl w:val="nil"/>
            </w:tcBorders>
            <w:noWrap w:val="0"/>
            <w:vAlign w:val="center"/>
          </w:tcPr>
          <w:p w14:paraId="6FC62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t>产品成分</w:t>
            </w:r>
          </w:p>
        </w:tc>
        <w:tc>
          <w:tcPr>
            <w:tcW w:w="1893" w:type="dxa"/>
            <w:tcBorders>
              <w:bottom w:val="single" w:color="000000" w:sz="4" w:space="0"/>
              <w:tl2br w:val="nil"/>
              <w:tr2bl w:val="nil"/>
            </w:tcBorders>
            <w:noWrap w:val="0"/>
            <w:vAlign w:val="center"/>
          </w:tcPr>
          <w:p w14:paraId="685CE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t>规格</w:t>
            </w:r>
          </w:p>
        </w:tc>
        <w:tc>
          <w:tcPr>
            <w:tcW w:w="2160" w:type="dxa"/>
            <w:tcBorders>
              <w:bottom w:val="single" w:color="000000" w:sz="4" w:space="0"/>
              <w:tl2br w:val="nil"/>
              <w:tr2bl w:val="nil"/>
            </w:tcBorders>
            <w:noWrap w:val="0"/>
            <w:vAlign w:val="center"/>
          </w:tcPr>
          <w:p w14:paraId="378CB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t>储存条件</w:t>
            </w:r>
          </w:p>
        </w:tc>
      </w:tr>
      <w:tr w14:paraId="161A21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695" w:type="dxa"/>
            <w:vMerge w:val="restart"/>
            <w:tcBorders>
              <w:top w:val="single" w:color="000000" w:sz="4" w:space="0"/>
              <w:tl2br w:val="nil"/>
              <w:tr2bl w:val="nil"/>
            </w:tcBorders>
            <w:noWrap w:val="0"/>
            <w:vAlign w:val="center"/>
          </w:tcPr>
          <w:p w14:paraId="2D503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instrText xml:space="preserve"> HYPERLINK "http://123.60.134.251:8088/kitproduct_info/14983" </w:instrText>
            </w: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t>HS718568</w:t>
            </w: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t>A（50次）</w:t>
            </w:r>
          </w:p>
        </w:tc>
        <w:tc>
          <w:tcPr>
            <w:tcW w:w="1930" w:type="dxa"/>
            <w:tcBorders>
              <w:top w:val="single" w:color="000000" w:sz="4" w:space="0"/>
              <w:tl2br w:val="nil"/>
              <w:tr2bl w:val="nil"/>
            </w:tcBorders>
            <w:noWrap w:val="0"/>
            <w:vAlign w:val="center"/>
          </w:tcPr>
          <w:p w14:paraId="2A9B6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t>蛋白酶K</w:t>
            </w:r>
          </w:p>
        </w:tc>
        <w:tc>
          <w:tcPr>
            <w:tcW w:w="1893" w:type="dxa"/>
            <w:tcBorders>
              <w:top w:val="single" w:color="000000" w:sz="4" w:space="0"/>
              <w:tl2br w:val="nil"/>
              <w:tr2bl w:val="nil"/>
            </w:tcBorders>
            <w:noWrap w:val="0"/>
            <w:vAlign w:val="center"/>
          </w:tcPr>
          <w:p w14:paraId="25CBB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t>2 mL</w:t>
            </w:r>
          </w:p>
        </w:tc>
        <w:tc>
          <w:tcPr>
            <w:tcW w:w="2160" w:type="dxa"/>
            <w:tcBorders>
              <w:top w:val="single" w:color="000000" w:sz="4" w:space="0"/>
              <w:tl2br w:val="nil"/>
              <w:tr2bl w:val="nil"/>
            </w:tcBorders>
            <w:noWrap w:val="0"/>
            <w:vAlign w:val="center"/>
          </w:tcPr>
          <w:p w14:paraId="53C89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t>4℃以下</w:t>
            </w:r>
          </w:p>
        </w:tc>
      </w:tr>
      <w:tr w14:paraId="55F289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69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4D5C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930" w:type="dxa"/>
            <w:tcBorders>
              <w:tl2br w:val="nil"/>
              <w:tr2bl w:val="nil"/>
            </w:tcBorders>
            <w:noWrap w:val="0"/>
            <w:vAlign w:val="center"/>
          </w:tcPr>
          <w:p w14:paraId="7AEC3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t>Buffer L1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noWrap w:val="0"/>
            <w:vAlign w:val="center"/>
          </w:tcPr>
          <w:p w14:paraId="1C131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t>30 mL</w:t>
            </w:r>
          </w:p>
        </w:tc>
        <w:tc>
          <w:tcPr>
            <w:tcW w:w="216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DB13A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  <w:t>常温</w:t>
            </w: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  <w:t>15-30</w:t>
            </w: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  <w:t>℃</w:t>
            </w:r>
          </w:p>
        </w:tc>
      </w:tr>
      <w:tr w14:paraId="3A07F6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69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BE7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930" w:type="dxa"/>
            <w:tcBorders>
              <w:tl2br w:val="nil"/>
              <w:tr2bl w:val="nil"/>
            </w:tcBorders>
            <w:noWrap w:val="0"/>
            <w:vAlign w:val="center"/>
          </w:tcPr>
          <w:p w14:paraId="5C7D8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t>Buffer L2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noWrap w:val="0"/>
            <w:vAlign w:val="center"/>
          </w:tcPr>
          <w:p w14:paraId="6811D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t>28 mL</w:t>
            </w:r>
          </w:p>
        </w:tc>
        <w:tc>
          <w:tcPr>
            <w:tcW w:w="216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00E3D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 w14:paraId="2333ED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69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E0C2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930" w:type="dxa"/>
            <w:tcBorders>
              <w:tl2br w:val="nil"/>
              <w:tr2bl w:val="nil"/>
            </w:tcBorders>
            <w:noWrap w:val="0"/>
            <w:vAlign w:val="center"/>
          </w:tcPr>
          <w:p w14:paraId="6A5E2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t>Buffer LD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noWrap w:val="0"/>
            <w:vAlign w:val="center"/>
          </w:tcPr>
          <w:p w14:paraId="475F2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t>18 mL</w:t>
            </w:r>
          </w:p>
        </w:tc>
        <w:tc>
          <w:tcPr>
            <w:tcW w:w="216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C4308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 w14:paraId="49C6A3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69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576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930" w:type="dxa"/>
            <w:tcBorders>
              <w:tl2br w:val="nil"/>
              <w:tr2bl w:val="nil"/>
            </w:tcBorders>
            <w:noWrap w:val="0"/>
            <w:vAlign w:val="center"/>
          </w:tcPr>
          <w:p w14:paraId="1B87D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t>Buffer GW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noWrap w:val="0"/>
            <w:vAlign w:val="center"/>
          </w:tcPr>
          <w:p w14:paraId="069D3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t>16 mL</w:t>
            </w:r>
          </w:p>
        </w:tc>
        <w:tc>
          <w:tcPr>
            <w:tcW w:w="216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96844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1B566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69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D5E4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930" w:type="dxa"/>
            <w:tcBorders>
              <w:tl2br w:val="nil"/>
              <w:tr2bl w:val="nil"/>
            </w:tcBorders>
            <w:noWrap w:val="0"/>
            <w:vAlign w:val="center"/>
          </w:tcPr>
          <w:p w14:paraId="42B79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t>Buffer TE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noWrap w:val="0"/>
            <w:vAlign w:val="center"/>
          </w:tcPr>
          <w:p w14:paraId="38E26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t>10 mL</w:t>
            </w:r>
          </w:p>
        </w:tc>
        <w:tc>
          <w:tcPr>
            <w:tcW w:w="216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FC9BC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 w14:paraId="345177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69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665F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930" w:type="dxa"/>
            <w:tcBorders>
              <w:tl2br w:val="nil"/>
              <w:tr2bl w:val="nil"/>
            </w:tcBorders>
            <w:noWrap w:val="0"/>
            <w:vAlign w:val="center"/>
          </w:tcPr>
          <w:p w14:paraId="0BBB4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t>DNA吸附柱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noWrap w:val="0"/>
            <w:vAlign w:val="center"/>
          </w:tcPr>
          <w:p w14:paraId="1F7D1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t>50支</w:t>
            </w:r>
          </w:p>
        </w:tc>
        <w:tc>
          <w:tcPr>
            <w:tcW w:w="216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282DD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  <w:vertAlign w:val="baseline"/>
              </w:rPr>
            </w:pPr>
          </w:p>
        </w:tc>
      </w:tr>
      <w:tr w14:paraId="0C66BA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69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49EED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  <w:vertAlign w:val="baseline"/>
              </w:rPr>
            </w:pPr>
          </w:p>
        </w:tc>
        <w:tc>
          <w:tcPr>
            <w:tcW w:w="1930" w:type="dxa"/>
            <w:tcBorders>
              <w:tl2br w:val="nil"/>
              <w:tr2bl w:val="nil"/>
            </w:tcBorders>
            <w:noWrap w:val="0"/>
            <w:vAlign w:val="center"/>
          </w:tcPr>
          <w:p w14:paraId="127E5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t>2 mL收集管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noWrap w:val="0"/>
            <w:vAlign w:val="center"/>
          </w:tcPr>
          <w:p w14:paraId="19CCB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color w:val="000000"/>
                <w:sz w:val="28"/>
                <w:szCs w:val="28"/>
                <w:lang w:val="en-US" w:eastAsia="zh-CN"/>
              </w:rPr>
              <w:t>50支</w:t>
            </w:r>
          </w:p>
        </w:tc>
        <w:tc>
          <w:tcPr>
            <w:tcW w:w="216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6D651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  <w:vertAlign w:val="baseline"/>
              </w:rPr>
            </w:pPr>
          </w:p>
        </w:tc>
      </w:tr>
    </w:tbl>
    <w:p w14:paraId="673A51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center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28"/>
          <w:szCs w:val="28"/>
        </w:rPr>
      </w:pPr>
    </w:p>
    <w:p w14:paraId="649D96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</w:rPr>
        <w:t>三、储存条件</w:t>
      </w:r>
    </w:p>
    <w:p w14:paraId="527E31AE">
      <w:pPr>
        <w:bidi w:val="0"/>
        <w:ind w:firstLine="560" w:firstLineChars="200"/>
        <w:rPr>
          <w:rFonts w:hint="eastAsia" w:ascii="Times New Roman" w:hAnsi="Times New Roman" w:eastAsiaTheme="minorEastAsia" w:cstheme="minorEastAsia"/>
          <w:sz w:val="28"/>
          <w:szCs w:val="28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680" w:gutter="0"/>
          <w:pgNumType w:fmt="decimal"/>
          <w:cols w:space="425" w:num="1"/>
          <w:docGrid w:linePitch="312" w:charSpace="0"/>
        </w:sectPr>
      </w:pPr>
      <w:r>
        <w:rPr>
          <w:rFonts w:hint="eastAsia" w:ascii="Times New Roman" w:hAnsi="Times New Roman" w:eastAsiaTheme="minorEastAsia" w:cstheme="minorEastAsia"/>
          <w:sz w:val="28"/>
          <w:szCs w:val="28"/>
        </w:rPr>
        <w:t>该试剂盒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中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除蛋白酶 K 需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低于4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 xml:space="preserve"> ℃保存外，其余组分室温(15‑30 ℃)干燥保存</w:t>
      </w:r>
      <w:r>
        <w:rPr>
          <w:rFonts w:hint="eastAsia" w:ascii="Times New Roman" w:hAnsi="Times New Roman" w:eastAsiaTheme="minorEastAsia" w:cstheme="minorEastAsia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自出厂之日起有效期12个月。若溶液产生沉淀，使用前可在37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℃水浴中预热以溶解沉淀，不影响效果</w:t>
      </w:r>
      <w:r>
        <w:rPr>
          <w:rFonts w:hint="eastAsia" w:ascii="Times New Roman" w:hAnsi="Times New Roman" w:eastAsiaTheme="minorEastAsia" w:cstheme="minorEastAsia"/>
          <w:sz w:val="28"/>
          <w:szCs w:val="28"/>
          <w:lang w:eastAsia="zh-CN"/>
        </w:rPr>
        <w:t>。</w:t>
      </w:r>
    </w:p>
    <w:p w14:paraId="2785F1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  <w:lang w:eastAsia="zh-CN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680" w:gutter="0"/>
          <w:pgNumType w:fmt="decimal"/>
          <w:cols w:space="425" w:num="1"/>
          <w:docGrid w:linePitch="312" w:charSpace="0"/>
        </w:sectPr>
      </w:pPr>
    </w:p>
    <w:p w14:paraId="05C686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四、</w:t>
      </w: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</w:rPr>
        <w:t>产品介绍</w:t>
      </w:r>
    </w:p>
    <w:p w14:paraId="438E05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</w:rPr>
        <w:t>本试剂盒采用特异性结合DNA的离心吸附柱和独特的缓冲液系统提取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酵母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的基因组DNA。</w:t>
      </w:r>
    </w:p>
    <w:p w14:paraId="71A5DC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</w:rPr>
        <w:t>基因组DNA片段的大小与样品保存时间、操作过程中的剪切力等因素有关。回收得到的DNA片段可用琼脂糖凝胶电泳和紫外分光光度计检测浓度与纯度。DNA应在OD</w:t>
      </w:r>
      <w:r>
        <w:rPr>
          <w:rFonts w:hint="eastAsia" w:ascii="Times New Roman" w:hAnsi="Times New Roman" w:eastAsiaTheme="minorEastAsia" w:cstheme="minorEastAsia"/>
          <w:sz w:val="28"/>
          <w:szCs w:val="28"/>
          <w:vertAlign w:val="subscript"/>
        </w:rPr>
        <w:t>260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处有显著吸收峰，OD</w:t>
      </w:r>
      <w:r>
        <w:rPr>
          <w:rFonts w:hint="eastAsia" w:ascii="Times New Roman" w:hAnsi="Times New Roman" w:eastAsiaTheme="minorEastAsia" w:cstheme="minorEastAsia"/>
          <w:sz w:val="28"/>
          <w:szCs w:val="28"/>
          <w:vertAlign w:val="subscript"/>
        </w:rPr>
        <w:t>260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值为1相当于大约50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 xml:space="preserve"> μ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g/</w:t>
      </w:r>
      <w:r>
        <w:rPr>
          <w:rFonts w:hint="eastAsia" w:ascii="Times New Roman" w:hAnsi="Times New Roman" w:eastAsiaTheme="minorEastAsia" w:cstheme="minorEastAsia"/>
          <w:sz w:val="28"/>
          <w:szCs w:val="28"/>
          <w:lang w:eastAsia="zh-CN"/>
        </w:rPr>
        <w:t>mL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双链DNA、40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 xml:space="preserve"> μ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g/</w:t>
      </w:r>
      <w:r>
        <w:rPr>
          <w:rFonts w:hint="eastAsia" w:ascii="Times New Roman" w:hAnsi="Times New Roman" w:eastAsiaTheme="minorEastAsia" w:cstheme="minorEastAsia"/>
          <w:sz w:val="28"/>
          <w:szCs w:val="28"/>
          <w:lang w:eastAsia="zh-CN"/>
        </w:rPr>
        <w:t>mL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单链DNA。OD</w:t>
      </w:r>
      <w:r>
        <w:rPr>
          <w:rFonts w:hint="eastAsia" w:ascii="Times New Roman" w:hAnsi="Times New Roman" w:eastAsiaTheme="minorEastAsia" w:cstheme="minorEastAsia"/>
          <w:sz w:val="28"/>
          <w:szCs w:val="28"/>
          <w:vertAlign w:val="subscript"/>
        </w:rPr>
        <w:t>260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/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OD</w:t>
      </w:r>
      <w:r>
        <w:rPr>
          <w:rFonts w:hint="eastAsia" w:ascii="Times New Roman" w:hAnsi="Times New Roman" w:eastAsiaTheme="minorEastAsia" w:cstheme="minorEastAsia"/>
          <w:sz w:val="28"/>
          <w:szCs w:val="28"/>
          <w:vertAlign w:val="subscript"/>
        </w:rPr>
        <w:t>280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比值应为1.7-1.9。</w:t>
      </w:r>
    </w:p>
    <w:p w14:paraId="252C89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</w:rPr>
        <w:t>使用本试剂盒提取的DNA可适用于各种常规操作，包括酶切、PCR、测序等。</w:t>
      </w:r>
    </w:p>
    <w:p w14:paraId="70D1ED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</w:rPr>
      </w:pPr>
    </w:p>
    <w:p w14:paraId="28A442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五、使用前注意事项</w:t>
      </w:r>
    </w:p>
    <w:p w14:paraId="1E4695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1.客户需自备无水乙醇及若干的1.5 mL离心管。</w:t>
      </w:r>
    </w:p>
    <w:p w14:paraId="729122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2.客户需自备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RNase A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（100 mg/mL）</w:t>
      </w:r>
    </w:p>
    <w:p w14:paraId="32F54B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3.初次使用前应在L2瓶中加入42 mL异丙醇，混合均匀</w:t>
      </w:r>
    </w:p>
    <w:p w14:paraId="677648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4.初次使用前应在Buffer LD瓶中加入12 mL无水乙醇，混合均匀；在Buffer GW瓶中加入64 mL无水乙醇，混合均匀。</w:t>
      </w:r>
    </w:p>
    <w:p w14:paraId="36051E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5.使用前请务必检查所有组分是否有沉淀，如有浑浊或沉淀现象请将其置于37 ℃水浴直至溶液澄清即可，不可剧烈振荡，避免试剂长时间与空气接触。</w:t>
      </w:r>
    </w:p>
    <w:p w14:paraId="334A59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6.本试剂盒仅限实验室科学研究用，为了您的健康和安全，请穿戴好实验服和一次性手套进行操作。</w:t>
      </w:r>
    </w:p>
    <w:p w14:paraId="708487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</w:pPr>
    </w:p>
    <w:p w14:paraId="01540B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</w:p>
    <w:p w14:paraId="302D7D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六、操作步骤</w:t>
      </w:r>
    </w:p>
    <w:p w14:paraId="6F58FB3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  <w:lang w:eastAsia="zh-CN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</w:rPr>
        <w:t>取过夜菌1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Theme="minorEastAsia" w:cstheme="minorEastAsia"/>
          <w:sz w:val="28"/>
          <w:szCs w:val="28"/>
          <w:lang w:eastAsia="zh-CN"/>
        </w:rPr>
        <w:t>mL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-5 mL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于离心管中</w:t>
      </w:r>
      <w:r>
        <w:rPr>
          <w:rFonts w:hint="eastAsia" w:ascii="Times New Roman" w:hAnsi="Times New Roman" w:eastAsiaTheme="minorEastAsia" w:cstheme="minorEastAsia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12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000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r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/min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离心1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min，收集细菌沉淀，弃上清。</w:t>
      </w:r>
      <w:r>
        <w:rPr>
          <w:rFonts w:hint="eastAsia" w:ascii="Times New Roman" w:hAnsi="Times New Roman" w:eastAsia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将收集好的细菌</w:t>
      </w:r>
      <w:r>
        <w:rPr>
          <w:rFonts w:hint="eastAsia" w:ascii="Times New Roman" w:hAnsi="Times New Roman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沉淀，加入200 μL的</w:t>
      </w:r>
      <w:r>
        <w:rPr>
          <w:rFonts w:hint="eastAsia" w:ascii="Times New Roman" w:hAnsi="Times New Roman" w:eastAsiaTheme="minorEastAsia" w:cstheme="minorEastAsia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Buffer L1充分重悬，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并将其吸出转入研钵中。倒入液氮浸没菌液（菌液碰到液氮后会立即凝集成块），用力研磨直至菌块呈粉末状。当研成粉末状的酵母开始融化时，向研</w:t>
      </w:r>
      <w:bookmarkStart w:id="0" w:name="_GoBack"/>
      <w:bookmarkEnd w:id="0"/>
      <w:r>
        <w:rPr>
          <w:rFonts w:hint="eastAsia" w:ascii="Times New Roman" w:hAnsi="Times New Roman" w:eastAsiaTheme="minorEastAsia" w:cstheme="minorEastAsia"/>
          <w:sz w:val="28"/>
          <w:szCs w:val="28"/>
        </w:rPr>
        <w:t>钵中加入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 xml:space="preserve">200 μL 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Buffer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 xml:space="preserve"> L1和30 μL的</w:t>
      </w:r>
      <w:r>
        <w:rPr>
          <w:rFonts w:hint="eastAsia" w:ascii="Times New Roman" w:hAnsi="Times New Roman" w:eastAsiaTheme="minorEastAsia" w:cstheme="minorEastAsia"/>
          <w:b w:val="0"/>
          <w:bCs w:val="0"/>
          <w:sz w:val="28"/>
          <w:szCs w:val="28"/>
          <w:lang w:val="en-US" w:eastAsia="zh-CN"/>
        </w:rPr>
        <w:t>蛋白酶K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继续研磨数次</w:t>
      </w:r>
      <w:r>
        <w:rPr>
          <w:rFonts w:hint="eastAsia" w:ascii="Times New Roman" w:hAnsi="Times New Roman" w:eastAsiaTheme="minorEastAsia" w:cstheme="minorEastAsia"/>
          <w:sz w:val="28"/>
          <w:szCs w:val="28"/>
          <w:lang w:eastAsia="zh-CN"/>
        </w:rPr>
        <w:t>。</w:t>
      </w:r>
    </w:p>
    <w:p w14:paraId="484534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lang w:val="en-US" w:eastAsia="zh-CN"/>
        </w:rPr>
        <w:t>注意：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</w:rPr>
        <w:t>如果菌块未能研磨成粉末状，应补加液氮继续研磨，否则将严重影响最终DNA的回收效率。</w:t>
      </w:r>
    </w:p>
    <w:p w14:paraId="6EA2B3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lang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</w:rPr>
        <w:t>研磨均质仪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lang w:val="en-US" w:eastAsia="zh-CN"/>
        </w:rPr>
        <w:t>法：加入300 μL的Buffer L1和30 μL蛋白酶K，使用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</w:rPr>
        <w:t>均质仪研磨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lang w:val="en-US" w:eastAsia="zh-CN"/>
        </w:rPr>
        <w:t>研磨仪10 M/S,30 S,2-3个循环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lang w:eastAsia="zh-CN"/>
        </w:rPr>
        <w:t>）。</w:t>
      </w:r>
    </w:p>
    <w:p w14:paraId="7D3524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 w:bidi="ar-SA"/>
        </w:rPr>
        <w:t>2.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研磨结束后将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裂解物转入1.5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Theme="minorEastAsia" w:cstheme="minorEastAsia"/>
          <w:sz w:val="28"/>
          <w:szCs w:val="28"/>
          <w:lang w:eastAsia="zh-CN"/>
        </w:rPr>
        <w:t>mL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离心管</w:t>
      </w:r>
      <w:r>
        <w:rPr>
          <w:rFonts w:hint="eastAsia" w:ascii="Times New Roman" w:hAnsi="Times New Roman" w:eastAsiaTheme="minorEastAsia" w:cstheme="minorEastAsia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静置10 min</w:t>
      </w:r>
      <w:r>
        <w:rPr>
          <w:rFonts w:hint="eastAsia" w:ascii="Times New Roman" w:hAnsi="Times New Roman" w:eastAsiaTheme="minorEastAsia" w:cstheme="minorEastAsia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 xml:space="preserve">如需去除RNA可加入5 μL 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RNase A</w:t>
      </w:r>
      <w:r>
        <w:rPr>
          <w:rFonts w:hint="eastAsia" w:ascii="Times New Roman" w:hAnsi="Times New Roman" w:eastAsiaTheme="minorEastAsia" w:cstheme="minorEastAsia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100 mg/mL</w:t>
      </w:r>
      <w:r>
        <w:rPr>
          <w:rFonts w:hint="eastAsia" w:ascii="Times New Roman" w:hAnsi="Times New Roman" w:eastAsiaTheme="minorEastAsia" w:cstheme="minorEastAsia"/>
          <w:sz w:val="28"/>
          <w:szCs w:val="28"/>
          <w:lang w:eastAsia="zh-CN"/>
        </w:rPr>
        <w:t>）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。静置完成后离心12000 r/min，3 min。</w:t>
      </w:r>
    </w:p>
    <w:p w14:paraId="433440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 w:bidi="ar-SA"/>
        </w:rPr>
        <w:t>3.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将上一步得到的上清液转移到新的1.5 mL离心管中。向离心管中按上清：Bu</w:t>
      </w:r>
      <w:r>
        <w:rPr>
          <w:rFonts w:hint="eastAsia" w:ascii="Times New Roman" w:hAnsi="Times New Roman" w:eastAsiaTheme="minorEastAsia" w:cstheme="minorEastAsia"/>
          <w:b w:val="0"/>
          <w:bCs w:val="0"/>
          <w:sz w:val="28"/>
          <w:szCs w:val="28"/>
          <w:lang w:val="en-US" w:eastAsia="zh-CN"/>
        </w:rPr>
        <w:t>ffer L2=1:3添加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Bu</w:t>
      </w:r>
      <w:r>
        <w:rPr>
          <w:rFonts w:hint="eastAsia" w:ascii="Times New Roman" w:hAnsi="Times New Roman" w:eastAsiaTheme="minorEastAsia" w:cstheme="minorEastAsia"/>
          <w:b w:val="0"/>
          <w:bCs w:val="0"/>
          <w:sz w:val="28"/>
          <w:szCs w:val="28"/>
          <w:lang w:val="en-US" w:eastAsia="zh-CN"/>
        </w:rPr>
        <w:t>ffer L2（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已加入异丙醇</w:t>
      </w:r>
      <w:r>
        <w:rPr>
          <w:rFonts w:hint="eastAsia" w:ascii="Times New Roman" w:hAnsi="Times New Roman" w:eastAsiaTheme="minorEastAsia" w:cstheme="minorEastAsia"/>
          <w:b w:val="0"/>
          <w:bCs w:val="0"/>
          <w:sz w:val="28"/>
          <w:szCs w:val="28"/>
          <w:lang w:val="en-US" w:eastAsia="zh-CN"/>
        </w:rPr>
        <w:t>），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充分混匀。</w:t>
      </w:r>
    </w:p>
    <w:p w14:paraId="592C0F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 w:bidi="ar-SA"/>
        </w:rPr>
        <w:t>4.将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DNA吸附柱置于2 mL收集管中，将上一步所得的溶液转移到吸附柱中。室温离心12000 r/min，1 min，弃废液。</w:t>
      </w:r>
    </w:p>
    <w:p w14:paraId="197AEB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 w:bidi="ar-SA"/>
        </w:rPr>
        <w:t>.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将吸附柱重新放回2 mL收集管中，加入500 μL的</w:t>
      </w:r>
      <w:r>
        <w:rPr>
          <w:rFonts w:hint="eastAsia" w:ascii="Times New Roman" w:hAnsi="Times New Roman" w:eastAsiaTheme="minorEastAsia" w:cstheme="minorEastAsia"/>
          <w:b w:val="0"/>
          <w:bCs w:val="0"/>
          <w:sz w:val="28"/>
          <w:szCs w:val="28"/>
          <w:lang w:val="en-US" w:eastAsia="zh-CN"/>
        </w:rPr>
        <w:t>Buffer LD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（已加入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无水乙醇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），室温离心12000 r/min，1 min，弃废液。</w:t>
      </w:r>
    </w:p>
    <w:p w14:paraId="65CACF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6.将吸附柱重新放回2 mL收集管中，加入700 μL的</w:t>
      </w:r>
      <w:r>
        <w:rPr>
          <w:rFonts w:hint="eastAsia" w:ascii="Times New Roman" w:hAnsi="Times New Roman" w:eastAsiaTheme="minorEastAsia" w:cstheme="minorEastAsia"/>
          <w:b w:val="0"/>
          <w:bCs w:val="0"/>
          <w:sz w:val="28"/>
          <w:szCs w:val="28"/>
          <w:lang w:val="en-US" w:eastAsia="zh-CN"/>
        </w:rPr>
        <w:t>Buffer GW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（已加入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无水乙醇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），室温离心12000 r/min，1 min，弃废液。</w:t>
      </w:r>
    </w:p>
    <w:p w14:paraId="6B7515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7.重复步骤8一次。</w:t>
      </w:r>
    </w:p>
    <w:p w14:paraId="5A90D7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8.将吸附柱重新放回2 mL收集管中，室温离心12000 r/min，2 min。</w:t>
      </w:r>
    </w:p>
    <w:p w14:paraId="1E995C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lang w:val="en-US" w:eastAsia="zh-CN"/>
        </w:rPr>
        <w:t>注意：无水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</w:rPr>
        <w:t>乙醇的残留会影响后续的酶反应（酶切、PCR等）实验。为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lang w:val="en-US" w:eastAsia="zh-CN"/>
        </w:rPr>
        <w:t>确保后续实验，务必空离去除无水乙醇。</w:t>
      </w:r>
    </w:p>
    <w:p w14:paraId="3EC4C4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9.将吸附柱置于新的1.5 mL离心管中。室温静置或超净工作台风干5 min，以彻底挥发残余的无水乙醇。</w:t>
      </w:r>
    </w:p>
    <w:p w14:paraId="64E04C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 xml:space="preserve">10.向吸附柱柱膜中央上方小心加入30-100 μL </w:t>
      </w:r>
      <w:r>
        <w:rPr>
          <w:rFonts w:hint="eastAsia" w:ascii="Times New Roman" w:hAnsi="Times New Roman" w:eastAsiaTheme="minorEastAsia" w:cstheme="minorEastAsia"/>
          <w:b w:val="0"/>
          <w:color w:val="000000"/>
          <w:sz w:val="28"/>
          <w:szCs w:val="28"/>
          <w:lang w:val="en-US" w:eastAsia="zh-CN"/>
        </w:rPr>
        <w:t>Buffer TE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（此步骤请谨慎操作，枪头请勿接触柱膜，</w:t>
      </w:r>
      <w:r>
        <w:rPr>
          <w:rFonts w:hint="eastAsia" w:ascii="Times New Roman" w:hAnsi="Times New Roman" w:eastAsiaTheme="minorEastAsia" w:cstheme="minorEastAsia"/>
          <w:b w:val="0"/>
          <w:color w:val="000000"/>
          <w:sz w:val="28"/>
          <w:szCs w:val="28"/>
          <w:lang w:val="en-US" w:eastAsia="zh-CN"/>
        </w:rPr>
        <w:t>Buffer TE</w:t>
      </w: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经65 ℃温浴后再加入有助于提高洗脱效率），室温静置3-5 min，室温离心12000 r/min，1 min，洗脱液即为DNA溶液。洗脱的DNA保存在-20 ℃。</w:t>
      </w:r>
    </w:p>
    <w:p w14:paraId="6AA016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</w:rPr>
        <w:t>注意：洗脱液的pH对于洗脱效率有很大影响。若后续做测序，需使用ddH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vertAlign w:val="subscript"/>
        </w:rPr>
        <w:t>2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</w:rPr>
        <w:t>O做洗脱液，并保证其pH在7.0-8.5范围内，pH低于7.0会降低洗脱效率。且DNA产物应保存在-20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</w:rPr>
        <w:t>℃，以防DNA降解。为了增加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lang w:val="en-US" w:eastAsia="zh-CN"/>
        </w:rPr>
        <w:t>DNA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</w:rPr>
        <w:t>的回收率，可将得到的溶液重新加入吸附柱中，室温放置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lang w:val="en-US" w:eastAsia="zh-CN"/>
        </w:rPr>
        <w:t>2 min，12000 r/min，1 min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</w:rPr>
        <w:t>将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lang w:val="en-US" w:eastAsia="zh-CN"/>
        </w:rPr>
        <w:t>DNA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</w:rPr>
        <w:t>溶液收集到离心管中。</w:t>
      </w:r>
    </w:p>
    <w:p w14:paraId="403886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lang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lang w:val="en-US" w:eastAsia="zh-CN"/>
        </w:rPr>
        <w:t>使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</w:rPr>
        <w:t>用ddH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vertAlign w:val="subscript"/>
        </w:rPr>
        <w:t>2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</w:rPr>
        <w:t>O，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lang w:val="en-US" w:eastAsia="zh-CN"/>
        </w:rPr>
        <w:t>OD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vertAlign w:val="subscript"/>
          <w:lang w:val="en-US" w:eastAsia="zh-CN"/>
        </w:rPr>
        <w:t>260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lang w:val="en-US" w:eastAsia="zh-CN"/>
        </w:rPr>
        <w:t>/OD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vertAlign w:val="subscript"/>
          <w:lang w:val="en-US" w:eastAsia="zh-CN"/>
        </w:rPr>
        <w:t>280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</w:rPr>
        <w:t>比值会偏低，因为pH和离子存在会影响光吸收值，但并不表示纯度低</w:t>
      </w: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lang w:eastAsia="zh-CN"/>
        </w:rPr>
        <w:t>。</w:t>
      </w:r>
    </w:p>
    <w:p w14:paraId="659C49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lang w:eastAsia="zh-CN"/>
        </w:rPr>
      </w:pPr>
    </w:p>
    <w:p w14:paraId="28DBB3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lang w:val="en-US" w:eastAsia="zh-CN"/>
        </w:rPr>
        <w:t>危险警告⚠️</w:t>
      </w:r>
    </w:p>
    <w:p w14:paraId="4800FA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2" w:firstLineChars="20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lang w:val="en-US" w:eastAsia="zh-CN"/>
        </w:rPr>
        <w:t>吞咽或吸入有害。造成皮肤刺激。造成严重眼刺激。吸入可能导致过敏或哮喘症状或呼吸困难。</w:t>
      </w:r>
    </w:p>
    <w:p w14:paraId="24036C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2" w:firstLineChars="200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auto"/>
          <w:sz w:val="28"/>
          <w:szCs w:val="28"/>
          <w:lang w:val="en-US" w:eastAsia="zh-CN"/>
        </w:rPr>
        <w:t>避免吸入粉尘/烟/气体/气雾/蒸汽/喷雾。只能在室外或通风良好处使用。戴防护手套/穿防护服/戴防护眼罩/戴防护面罩/戴呼吸面罩，如已接触或有疑虑：呼叫中毒急救中心/医生。将人转移到空气新鲜处，保持呼吸舒适体位。脱掉沾染的衣服。按当地法规处置内装物/容器。</w:t>
      </w:r>
    </w:p>
    <w:sectPr>
      <w:headerReference r:id="rId7" w:type="default"/>
      <w:type w:val="continuous"/>
      <w:pgSz w:w="11906" w:h="16838"/>
      <w:pgMar w:top="1440" w:right="1800" w:bottom="1440" w:left="1800" w:header="851" w:footer="680" w:gutter="0"/>
      <w:pgNumType w:fmt="decimal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4A2F6">
    <w:pPr>
      <w:pStyle w:val="2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posOffset>2099945</wp:posOffset>
              </wp:positionH>
              <wp:positionV relativeFrom="paragraph">
                <wp:posOffset>-240030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589C8D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65.35pt;margin-top:-18.9pt;height:144pt;width:144pt;mso-position-horizontal-relative:margin;mso-wrap-style:none;z-index:251664384;mso-width-relative:page;mso-height-relative:page;" filled="f" stroked="f" coordsize="21600,21600" o:gfxdata="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XWCvK9gAAAALAQAADwAAAAAAAAABACAAAAAiAAAAZHJzL2Rvd25yZXYueG1s&#10;UEsBAhQAFAAAAAgAh07iQDCJEl4xAgAAYQQAAA4AAAAAAAAAAQAgAAAAJ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589C8D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楷体" w:hAnsi="楷体" w:eastAsia="楷体" w:cs="楷体"/>
      </w:rPr>
      <w:t>宁波明舟生物科技有限公司         电话：0574-87157013        网址：</w:t>
    </w:r>
    <w:r>
      <w:fldChar w:fldCharType="begin"/>
    </w:r>
    <w:r>
      <w:instrText xml:space="preserve"> HYPERLINK "https://www.mingzhoubio.com/" </w:instrText>
    </w:r>
    <w:r>
      <w:fldChar w:fldCharType="separate"/>
    </w:r>
    <w:r>
      <w:rPr>
        <w:rStyle w:val="8"/>
        <w:rFonts w:hint="eastAsia" w:ascii="楷体" w:hAnsi="楷体" w:eastAsia="楷体" w:cs="楷体"/>
      </w:rPr>
      <w:t>https://www.mingzho</w:t>
    </w:r>
    <w:r>
      <w:rPr>
        <w:rStyle w:val="8"/>
        <w:rFonts w:hint="eastAsia" w:ascii="楷体" w:hAnsi="楷体" w:eastAsia="楷体" w:cs="楷体"/>
        <w:lang w:eastAsia="zh-CN"/>
      </w:rPr>
      <w:t>μ</w:t>
    </w:r>
    <w:r>
      <w:rPr>
        <w:rStyle w:val="8"/>
        <w:rFonts w:hint="eastAsia" w:ascii="楷体" w:hAnsi="楷体" w:eastAsia="楷体" w:cs="楷体"/>
      </w:rPr>
      <w:t>bio.com/</w:t>
    </w:r>
    <w:r>
      <w:rPr>
        <w:rStyle w:val="8"/>
        <w:rFonts w:hint="eastAsia" w:ascii="楷体" w:hAnsi="楷体" w:eastAsia="楷体" w:cs="楷体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E4C1E5">
    <w:pPr>
      <w:pStyle w:val="2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2128520</wp:posOffset>
              </wp:positionH>
              <wp:positionV relativeFrom="paragraph">
                <wp:posOffset>-250190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1775E2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67.6pt;margin-top:-19.7pt;height:144pt;width:144pt;mso-position-horizontal-relative:margin;mso-wrap-style:none;z-index:251661312;mso-width-relative:page;mso-height-relative:page;" filled="f" stroked="f" coordsize="21600,21600" o:gfxdata="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Jto51rZAAAACwEAAA8AAAAAAAAAAQAgAAAAIgAAAGRycy9kb3ducmV2Lnht&#10;bFBLAQIUABQAAAAIAIdO4kAkgka0MQIAAGEEAAAOAAAAAAAAAAEAIAAAACg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1775E2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楷体" w:hAnsi="楷体" w:eastAsia="楷体" w:cs="楷体"/>
      </w:rPr>
      <w:t>宁波明舟生物科技有限公司         电话：0574-87157013        网址：</w:t>
    </w:r>
    <w:r>
      <w:fldChar w:fldCharType="begin"/>
    </w:r>
    <w:r>
      <w:instrText xml:space="preserve"> HYPERLINK "https://www.mingzhoubio.com/" </w:instrText>
    </w:r>
    <w:r>
      <w:fldChar w:fldCharType="separate"/>
    </w:r>
    <w:r>
      <w:rPr>
        <w:rStyle w:val="8"/>
        <w:rFonts w:hint="eastAsia" w:ascii="楷体" w:hAnsi="楷体" w:eastAsia="楷体" w:cs="楷体"/>
      </w:rPr>
      <w:t>https://www.mingzhoubio.com/</w:t>
    </w:r>
    <w:r>
      <w:rPr>
        <w:rStyle w:val="8"/>
        <w:rFonts w:hint="eastAsia" w:ascii="楷体" w:hAnsi="楷体" w:eastAsia="楷体" w:cs="楷体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64380">
    <w:pPr>
      <w:pStyle w:val="3"/>
      <w:pBdr>
        <w:bottom w:val="none" w:color="auto" w:sz="0" w:space="1"/>
      </w:pBdr>
      <w:ind w:firstLine="4400" w:firstLineChars="2200"/>
      <w:jc w:val="left"/>
      <w:rPr>
        <w:rFonts w:hint="eastAsia" w:ascii="楷体" w:hAnsi="楷体" w:eastAsia="楷体" w:cs="楷体"/>
        <w:sz w:val="20"/>
        <w:szCs w:val="20"/>
      </w:rPr>
    </w:pPr>
    <w:r>
      <w:rPr>
        <w:rFonts w:hint="eastAsia" w:ascii="楷体" w:hAnsi="楷体" w:eastAsia="楷体" w:cs="楷体"/>
        <w:sz w:val="20"/>
        <w:szCs w:val="20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59690</wp:posOffset>
          </wp:positionH>
          <wp:positionV relativeFrom="paragraph">
            <wp:posOffset>-13970</wp:posOffset>
          </wp:positionV>
          <wp:extent cx="1297305" cy="366395"/>
          <wp:effectExtent l="0" t="0" r="17145" b="14605"/>
          <wp:wrapTopAndBottom/>
          <wp:docPr id="1" name="图片 1" descr="明舟生物logo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明舟生物logo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7305" cy="366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ascii="楷体" w:hAnsi="楷体" w:eastAsia="楷体" w:cs="楷体"/>
        <w:sz w:val="20"/>
        <w:szCs w:val="20"/>
      </w:rPr>
      <w:t>Ningbo Mingzho</w:t>
    </w:r>
    <w:r>
      <w:rPr>
        <w:rFonts w:hint="eastAsia" w:ascii="楷体" w:hAnsi="楷体" w:eastAsia="楷体" w:cs="楷体"/>
        <w:sz w:val="20"/>
        <w:szCs w:val="20"/>
        <w:lang w:val="en-US" w:eastAsia="zh-CN"/>
      </w:rPr>
      <w:t>u</w:t>
    </w:r>
    <w:r>
      <w:rPr>
        <w:rFonts w:hint="eastAsia" w:ascii="楷体" w:hAnsi="楷体" w:eastAsia="楷体" w:cs="楷体"/>
        <w:sz w:val="20"/>
        <w:szCs w:val="20"/>
      </w:rPr>
      <w:t xml:space="preserve"> Biotechnology Co., Ltd.</w:t>
    </w:r>
  </w:p>
  <w:p w14:paraId="7EB6E134">
    <w:pPr>
      <w:pStyle w:val="3"/>
      <w:pBdr>
        <w:bottom w:val="none" w:color="auto" w:sz="0" w:space="1"/>
      </w:pBdr>
      <w:ind w:firstLine="4400" w:firstLineChars="2200"/>
      <w:jc w:val="left"/>
      <w:rPr>
        <w:rFonts w:hint="eastAsia" w:ascii="楷体" w:hAnsi="楷体" w:eastAsia="楷体" w:cs="楷体"/>
        <w:sz w:val="20"/>
        <w:szCs w:val="20"/>
      </w:rPr>
    </w:pPr>
    <w:r>
      <w:rPr>
        <w:rFonts w:hint="eastAsia" w:ascii="楷体" w:hAnsi="楷体" w:eastAsia="楷体" w:cs="楷体"/>
        <w:sz w:val="20"/>
        <w:szCs w:val="20"/>
      </w:rPr>
      <w:t>B</w:t>
    </w:r>
    <w:r>
      <w:rPr>
        <w:rFonts w:hint="eastAsia" w:ascii="楷体" w:hAnsi="楷体" w:eastAsia="楷体" w:cs="楷体"/>
        <w:sz w:val="20"/>
        <w:szCs w:val="20"/>
        <w:lang w:val="en-US" w:eastAsia="zh-CN"/>
      </w:rPr>
      <w:t>u</w:t>
    </w:r>
    <w:r>
      <w:rPr>
        <w:rFonts w:hint="eastAsia" w:ascii="楷体" w:hAnsi="楷体" w:eastAsia="楷体" w:cs="楷体"/>
        <w:sz w:val="20"/>
        <w:szCs w:val="20"/>
      </w:rPr>
      <w:t>siness lnq</w:t>
    </w:r>
    <w:r>
      <w:rPr>
        <w:rFonts w:hint="eastAsia" w:ascii="楷体" w:hAnsi="楷体" w:eastAsia="楷体" w:cs="楷体"/>
        <w:sz w:val="20"/>
        <w:szCs w:val="20"/>
        <w:lang w:val="en-US" w:eastAsia="zh-CN"/>
      </w:rPr>
      <w:t>u</w:t>
    </w:r>
    <w:r>
      <w:rPr>
        <w:rFonts w:hint="eastAsia" w:ascii="楷体" w:hAnsi="楷体" w:eastAsia="楷体" w:cs="楷体"/>
        <w:sz w:val="20"/>
        <w:szCs w:val="20"/>
      </w:rPr>
      <w:t>iry:+86-0574-87157013</w:t>
    </w:r>
  </w:p>
  <w:p w14:paraId="503DEF16">
    <w:pPr>
      <w:pStyle w:val="3"/>
      <w:pBdr>
        <w:bottom w:val="none" w:color="auto" w:sz="0" w:space="1"/>
      </w:pBdr>
      <w:ind w:firstLine="4400" w:firstLineChars="2200"/>
      <w:jc w:val="left"/>
      <w:rPr>
        <w:rFonts w:hint="default" w:ascii="楷体" w:hAnsi="楷体" w:eastAsia="楷体" w:cs="楷体"/>
        <w:sz w:val="20"/>
        <w:szCs w:val="20"/>
        <w:lang w:val="en-US" w:eastAsia="zh-CN"/>
      </w:rPr>
    </w:pPr>
    <w:r>
      <w:rPr>
        <w:rFonts w:hint="eastAsia" w:ascii="楷体" w:hAnsi="楷体" w:eastAsia="楷体" w:cs="楷体"/>
        <w:sz w:val="20"/>
        <w:szCs w:val="20"/>
        <w:lang w:val="en-US" w:eastAsia="zh-CN"/>
      </w:rPr>
      <w:t>Email:mingzhoubio@163.com</w:t>
    </w:r>
  </w:p>
  <w:p w14:paraId="6941017D">
    <w:pPr>
      <w:pStyle w:val="3"/>
      <w:pBdr>
        <w:bottom w:val="none" w:color="auto" w:sz="0" w:space="1"/>
      </w:pBdr>
      <w:jc w:val="left"/>
      <w:rPr>
        <w:rFonts w:hint="eastAsia" w:ascii="楷体" w:hAnsi="楷体" w:eastAsia="楷体" w:cs="楷体"/>
      </w:rPr>
    </w:pPr>
    <w:r>
      <w:rPr>
        <w:rFonts w:hint="eastAsia" w:asciiTheme="minorEastAsia" w:hAnsiTheme="minorEastAsia" w:eastAsiaTheme="minorEastAsia" w:cstheme="minorEastAsia"/>
        <w:sz w:val="28"/>
        <w:szCs w:val="28"/>
      </w:rPr>
      <w:drawing>
        <wp:anchor distT="0" distB="0" distL="0" distR="0" simplePos="0" relativeHeight="251662336" behindDoc="1" locked="0" layoutInCell="1" allowOverlap="1">
          <wp:simplePos x="0" y="0"/>
          <wp:positionH relativeFrom="column">
            <wp:posOffset>59690</wp:posOffset>
          </wp:positionH>
          <wp:positionV relativeFrom="paragraph">
            <wp:posOffset>152400</wp:posOffset>
          </wp:positionV>
          <wp:extent cx="5243195" cy="132080"/>
          <wp:effectExtent l="0" t="0" r="14605" b="1270"/>
          <wp:wrapThrough wrapText="bothSides">
            <wp:wrapPolygon>
              <wp:start x="0" y="0"/>
              <wp:lineTo x="0" y="18692"/>
              <wp:lineTo x="21503" y="18692"/>
              <wp:lineTo x="21503" y="0"/>
              <wp:lineTo x="0" y="0"/>
            </wp:wrapPolygon>
          </wp:wrapThrough>
          <wp:docPr id="3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 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243195" cy="132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5B0632">
    <w:pPr>
      <w:pStyle w:val="3"/>
      <w:pBdr>
        <w:bottom w:val="none" w:color="auto" w:sz="0" w:space="1"/>
      </w:pBdr>
      <w:ind w:firstLine="4400" w:firstLineChars="2200"/>
      <w:jc w:val="left"/>
      <w:rPr>
        <w:rFonts w:hint="eastAsia" w:ascii="楷体" w:hAnsi="楷体" w:eastAsia="楷体" w:cs="楷体"/>
        <w:sz w:val="20"/>
        <w:szCs w:val="20"/>
      </w:rPr>
    </w:pPr>
    <w:r>
      <w:rPr>
        <w:rFonts w:hint="eastAsia" w:ascii="楷体" w:hAnsi="楷体" w:eastAsia="楷体" w:cs="楷体"/>
        <w:sz w:val="20"/>
        <w:szCs w:val="2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59690</wp:posOffset>
          </wp:positionH>
          <wp:positionV relativeFrom="paragraph">
            <wp:posOffset>-13970</wp:posOffset>
          </wp:positionV>
          <wp:extent cx="1297305" cy="366395"/>
          <wp:effectExtent l="0" t="0" r="13335" b="14605"/>
          <wp:wrapTopAndBottom/>
          <wp:docPr id="20" name="图片 20" descr="明舟生物logo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图片 20" descr="明舟生物logo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7305" cy="366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ascii="楷体" w:hAnsi="楷体" w:eastAsia="楷体" w:cs="楷体"/>
        <w:sz w:val="20"/>
        <w:szCs w:val="20"/>
      </w:rPr>
      <w:t>Ningbo Mingzhou Biotechnology Co., Ltd.</w:t>
    </w:r>
  </w:p>
  <w:p w14:paraId="4D46FF14">
    <w:pPr>
      <w:pStyle w:val="3"/>
      <w:pBdr>
        <w:bottom w:val="none" w:color="auto" w:sz="0" w:space="1"/>
      </w:pBdr>
      <w:ind w:firstLine="4400" w:firstLineChars="2200"/>
      <w:jc w:val="left"/>
      <w:rPr>
        <w:rFonts w:hint="eastAsia" w:ascii="楷体" w:hAnsi="楷体" w:eastAsia="楷体" w:cs="楷体"/>
        <w:sz w:val="20"/>
        <w:szCs w:val="20"/>
      </w:rPr>
    </w:pPr>
    <w:r>
      <w:rPr>
        <w:rFonts w:hint="eastAsia" w:ascii="楷体" w:hAnsi="楷体" w:eastAsia="楷体" w:cs="楷体"/>
        <w:sz w:val="20"/>
        <w:szCs w:val="20"/>
      </w:rPr>
      <w:t>Business lnquiry:+86-0574-87157013</w:t>
    </w:r>
  </w:p>
  <w:p w14:paraId="1CAF95C9">
    <w:pPr>
      <w:pStyle w:val="3"/>
      <w:pBdr>
        <w:bottom w:val="none" w:color="auto" w:sz="0" w:space="1"/>
      </w:pBdr>
      <w:ind w:firstLine="4400" w:firstLineChars="2200"/>
      <w:jc w:val="left"/>
      <w:rPr>
        <w:rFonts w:hint="eastAsia" w:ascii="楷体" w:hAnsi="楷体" w:eastAsia="楷体" w:cs="楷体"/>
      </w:rPr>
    </w:pPr>
    <w:r>
      <w:rPr>
        <w:rFonts w:hint="eastAsia" w:ascii="楷体" w:hAnsi="楷体" w:eastAsia="楷体" w:cs="楷体"/>
        <w:sz w:val="20"/>
        <w:szCs w:val="20"/>
        <w:lang w:val="en-US" w:eastAsia="zh-CN"/>
      </w:rPr>
      <w:t>Email:mingzhoubio@163.com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81E35C">
    <w:pPr>
      <w:pStyle w:val="3"/>
      <w:pBdr>
        <w:bottom w:val="none" w:color="auto" w:sz="0" w:space="1"/>
      </w:pBdr>
      <w:ind w:firstLine="3960" w:firstLineChars="2200"/>
      <w:jc w:val="left"/>
      <w:rPr>
        <w:rFonts w:hint="eastAsia" w:ascii="楷体" w:hAnsi="楷体" w:eastAsia="楷体" w:cs="楷体"/>
      </w:rPr>
    </w:pPr>
    <w:r>
      <w:rPr>
        <w:rFonts w:eastAsia="楷体"/>
        <w:position w:val="-3"/>
      </w:rPr>
      <w:drawing>
        <wp:anchor distT="0" distB="0" distL="0" distR="0" simplePos="0" relativeHeight="251660288" behindDoc="1" locked="0" layoutInCell="1" allowOverlap="1">
          <wp:simplePos x="0" y="0"/>
          <wp:positionH relativeFrom="column">
            <wp:posOffset>26670</wp:posOffset>
          </wp:positionH>
          <wp:positionV relativeFrom="paragraph">
            <wp:posOffset>269875</wp:posOffset>
          </wp:positionV>
          <wp:extent cx="5243195" cy="132080"/>
          <wp:effectExtent l="0" t="0" r="14605" b="5080"/>
          <wp:wrapThrough wrapText="bothSides">
            <wp:wrapPolygon>
              <wp:start x="0" y="0"/>
              <wp:lineTo x="0" y="19108"/>
              <wp:lineTo x="21535" y="19108"/>
              <wp:lineTo x="21535" y="0"/>
              <wp:lineTo x="0" y="0"/>
            </wp:wrapPolygon>
          </wp:wrapThrough>
          <wp:docPr id="5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43195" cy="132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2D6408"/>
    <w:multiLevelType w:val="singleLevel"/>
    <w:tmpl w:val="932D640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EyOTk5NzE5MTdmZjQyZGUyNjQ4ZTY2OGU0YmNmNzQifQ=="/>
  </w:docVars>
  <w:rsids>
    <w:rsidRoot w:val="00D44F61"/>
    <w:rsid w:val="0001752B"/>
    <w:rsid w:val="00030A93"/>
    <w:rsid w:val="00042988"/>
    <w:rsid w:val="00047718"/>
    <w:rsid w:val="000565AA"/>
    <w:rsid w:val="00071844"/>
    <w:rsid w:val="00086163"/>
    <w:rsid w:val="00090CFF"/>
    <w:rsid w:val="00093219"/>
    <w:rsid w:val="000B3568"/>
    <w:rsid w:val="000E6911"/>
    <w:rsid w:val="000F2B61"/>
    <w:rsid w:val="00105054"/>
    <w:rsid w:val="00105B6F"/>
    <w:rsid w:val="0012362F"/>
    <w:rsid w:val="00124591"/>
    <w:rsid w:val="00156681"/>
    <w:rsid w:val="00163BD6"/>
    <w:rsid w:val="0017360F"/>
    <w:rsid w:val="001751E5"/>
    <w:rsid w:val="00180360"/>
    <w:rsid w:val="00180837"/>
    <w:rsid w:val="00185186"/>
    <w:rsid w:val="00190102"/>
    <w:rsid w:val="0019605C"/>
    <w:rsid w:val="001A5574"/>
    <w:rsid w:val="001B3534"/>
    <w:rsid w:val="001C2EE7"/>
    <w:rsid w:val="001D4B33"/>
    <w:rsid w:val="001D5FF9"/>
    <w:rsid w:val="001E1986"/>
    <w:rsid w:val="001F426B"/>
    <w:rsid w:val="001F44A3"/>
    <w:rsid w:val="001F7A3E"/>
    <w:rsid w:val="00214138"/>
    <w:rsid w:val="00225B25"/>
    <w:rsid w:val="00226658"/>
    <w:rsid w:val="0026426B"/>
    <w:rsid w:val="002806BE"/>
    <w:rsid w:val="002874B7"/>
    <w:rsid w:val="00292A37"/>
    <w:rsid w:val="002A6FBE"/>
    <w:rsid w:val="002B3D5B"/>
    <w:rsid w:val="002C4FE2"/>
    <w:rsid w:val="002D787A"/>
    <w:rsid w:val="002E13EB"/>
    <w:rsid w:val="002F0571"/>
    <w:rsid w:val="002F3062"/>
    <w:rsid w:val="003074A1"/>
    <w:rsid w:val="0031256C"/>
    <w:rsid w:val="00332D0A"/>
    <w:rsid w:val="00342506"/>
    <w:rsid w:val="0035195A"/>
    <w:rsid w:val="00362007"/>
    <w:rsid w:val="0036410C"/>
    <w:rsid w:val="00375525"/>
    <w:rsid w:val="003A0083"/>
    <w:rsid w:val="003B7609"/>
    <w:rsid w:val="003C3816"/>
    <w:rsid w:val="003C4D1A"/>
    <w:rsid w:val="003D5F42"/>
    <w:rsid w:val="003E3503"/>
    <w:rsid w:val="003E6696"/>
    <w:rsid w:val="003E69C8"/>
    <w:rsid w:val="003F1693"/>
    <w:rsid w:val="004043A0"/>
    <w:rsid w:val="00407688"/>
    <w:rsid w:val="004136FA"/>
    <w:rsid w:val="00414CF0"/>
    <w:rsid w:val="00417DA7"/>
    <w:rsid w:val="00421068"/>
    <w:rsid w:val="004251E1"/>
    <w:rsid w:val="0043045E"/>
    <w:rsid w:val="00444431"/>
    <w:rsid w:val="004711E9"/>
    <w:rsid w:val="00477900"/>
    <w:rsid w:val="0048499E"/>
    <w:rsid w:val="004852FF"/>
    <w:rsid w:val="0049482D"/>
    <w:rsid w:val="004C04EA"/>
    <w:rsid w:val="004C58D1"/>
    <w:rsid w:val="004C7067"/>
    <w:rsid w:val="004F7E82"/>
    <w:rsid w:val="005342D6"/>
    <w:rsid w:val="00551074"/>
    <w:rsid w:val="0055551D"/>
    <w:rsid w:val="00565DEA"/>
    <w:rsid w:val="00573121"/>
    <w:rsid w:val="005761DC"/>
    <w:rsid w:val="0058364E"/>
    <w:rsid w:val="00593E31"/>
    <w:rsid w:val="00597176"/>
    <w:rsid w:val="005A152D"/>
    <w:rsid w:val="005A30A7"/>
    <w:rsid w:val="005D66EE"/>
    <w:rsid w:val="006054FE"/>
    <w:rsid w:val="0062426F"/>
    <w:rsid w:val="00634919"/>
    <w:rsid w:val="00635E57"/>
    <w:rsid w:val="00637AD9"/>
    <w:rsid w:val="00641610"/>
    <w:rsid w:val="00645F70"/>
    <w:rsid w:val="00662948"/>
    <w:rsid w:val="00673F03"/>
    <w:rsid w:val="00677DEF"/>
    <w:rsid w:val="006A3514"/>
    <w:rsid w:val="006A5D66"/>
    <w:rsid w:val="006C3474"/>
    <w:rsid w:val="006C396B"/>
    <w:rsid w:val="006C782B"/>
    <w:rsid w:val="006E02AE"/>
    <w:rsid w:val="00715FF8"/>
    <w:rsid w:val="00717F5B"/>
    <w:rsid w:val="00725D39"/>
    <w:rsid w:val="00733454"/>
    <w:rsid w:val="00740C87"/>
    <w:rsid w:val="007459F6"/>
    <w:rsid w:val="00752C38"/>
    <w:rsid w:val="007604AD"/>
    <w:rsid w:val="0076467D"/>
    <w:rsid w:val="00792406"/>
    <w:rsid w:val="007A7B25"/>
    <w:rsid w:val="007B38B7"/>
    <w:rsid w:val="007C7507"/>
    <w:rsid w:val="007D37C2"/>
    <w:rsid w:val="007E69F6"/>
    <w:rsid w:val="007F23C8"/>
    <w:rsid w:val="007F31DB"/>
    <w:rsid w:val="0080327C"/>
    <w:rsid w:val="00827A04"/>
    <w:rsid w:val="00851B47"/>
    <w:rsid w:val="0085412F"/>
    <w:rsid w:val="0086135E"/>
    <w:rsid w:val="0086474B"/>
    <w:rsid w:val="008733AC"/>
    <w:rsid w:val="008843C3"/>
    <w:rsid w:val="008900A0"/>
    <w:rsid w:val="008B30BC"/>
    <w:rsid w:val="008B793D"/>
    <w:rsid w:val="008C01C7"/>
    <w:rsid w:val="008E0423"/>
    <w:rsid w:val="008E25A1"/>
    <w:rsid w:val="008E65AF"/>
    <w:rsid w:val="008F059E"/>
    <w:rsid w:val="008F381C"/>
    <w:rsid w:val="0091544D"/>
    <w:rsid w:val="0092473D"/>
    <w:rsid w:val="009268DC"/>
    <w:rsid w:val="00927869"/>
    <w:rsid w:val="0093502D"/>
    <w:rsid w:val="009462EC"/>
    <w:rsid w:val="009465FE"/>
    <w:rsid w:val="00985FBA"/>
    <w:rsid w:val="009875FD"/>
    <w:rsid w:val="00991455"/>
    <w:rsid w:val="009A59D9"/>
    <w:rsid w:val="009B4517"/>
    <w:rsid w:val="009D08E9"/>
    <w:rsid w:val="009E3D9B"/>
    <w:rsid w:val="009E455D"/>
    <w:rsid w:val="009E56EB"/>
    <w:rsid w:val="009F3109"/>
    <w:rsid w:val="009F3271"/>
    <w:rsid w:val="00A13486"/>
    <w:rsid w:val="00A1488E"/>
    <w:rsid w:val="00A20E26"/>
    <w:rsid w:val="00A24FF7"/>
    <w:rsid w:val="00A303E9"/>
    <w:rsid w:val="00A545E8"/>
    <w:rsid w:val="00A5706D"/>
    <w:rsid w:val="00AA2EA4"/>
    <w:rsid w:val="00AA66B9"/>
    <w:rsid w:val="00AB2931"/>
    <w:rsid w:val="00AC0647"/>
    <w:rsid w:val="00AE2E4B"/>
    <w:rsid w:val="00AE7E2C"/>
    <w:rsid w:val="00AF0EF9"/>
    <w:rsid w:val="00AF5D67"/>
    <w:rsid w:val="00AF799C"/>
    <w:rsid w:val="00B06314"/>
    <w:rsid w:val="00B31CD2"/>
    <w:rsid w:val="00B43612"/>
    <w:rsid w:val="00B52886"/>
    <w:rsid w:val="00B6623E"/>
    <w:rsid w:val="00B77016"/>
    <w:rsid w:val="00B87284"/>
    <w:rsid w:val="00B95E58"/>
    <w:rsid w:val="00B97C9F"/>
    <w:rsid w:val="00BB14BA"/>
    <w:rsid w:val="00BB6674"/>
    <w:rsid w:val="00BC4DD9"/>
    <w:rsid w:val="00BD7B04"/>
    <w:rsid w:val="00BF30C1"/>
    <w:rsid w:val="00C13697"/>
    <w:rsid w:val="00C276F1"/>
    <w:rsid w:val="00C36488"/>
    <w:rsid w:val="00C43E36"/>
    <w:rsid w:val="00C8572D"/>
    <w:rsid w:val="00CA430B"/>
    <w:rsid w:val="00CA6579"/>
    <w:rsid w:val="00CA7B64"/>
    <w:rsid w:val="00CB0C10"/>
    <w:rsid w:val="00CC474C"/>
    <w:rsid w:val="00CE165A"/>
    <w:rsid w:val="00CE60C8"/>
    <w:rsid w:val="00CE619E"/>
    <w:rsid w:val="00D06A59"/>
    <w:rsid w:val="00D26A27"/>
    <w:rsid w:val="00D37E6F"/>
    <w:rsid w:val="00D44F61"/>
    <w:rsid w:val="00D451E4"/>
    <w:rsid w:val="00D47559"/>
    <w:rsid w:val="00D55B4A"/>
    <w:rsid w:val="00D60AAD"/>
    <w:rsid w:val="00D641E9"/>
    <w:rsid w:val="00D66C0D"/>
    <w:rsid w:val="00D82FB2"/>
    <w:rsid w:val="00D84364"/>
    <w:rsid w:val="00D91171"/>
    <w:rsid w:val="00DB0153"/>
    <w:rsid w:val="00DD4A9D"/>
    <w:rsid w:val="00E151D7"/>
    <w:rsid w:val="00E22754"/>
    <w:rsid w:val="00E3325B"/>
    <w:rsid w:val="00E55334"/>
    <w:rsid w:val="00E57828"/>
    <w:rsid w:val="00E72416"/>
    <w:rsid w:val="00E73573"/>
    <w:rsid w:val="00E82C5D"/>
    <w:rsid w:val="00EA1F24"/>
    <w:rsid w:val="00EC2D85"/>
    <w:rsid w:val="00EE38E1"/>
    <w:rsid w:val="00F07E20"/>
    <w:rsid w:val="00F16554"/>
    <w:rsid w:val="00F17499"/>
    <w:rsid w:val="00F25D76"/>
    <w:rsid w:val="00F27266"/>
    <w:rsid w:val="00F57F5D"/>
    <w:rsid w:val="00F66AFF"/>
    <w:rsid w:val="00F72A65"/>
    <w:rsid w:val="00F73762"/>
    <w:rsid w:val="00F76BBD"/>
    <w:rsid w:val="00F779F7"/>
    <w:rsid w:val="00F81569"/>
    <w:rsid w:val="00F83E2D"/>
    <w:rsid w:val="00F907D8"/>
    <w:rsid w:val="00F91500"/>
    <w:rsid w:val="00FC0657"/>
    <w:rsid w:val="00FC3687"/>
    <w:rsid w:val="01EF6548"/>
    <w:rsid w:val="04F217BD"/>
    <w:rsid w:val="06373504"/>
    <w:rsid w:val="06B238FA"/>
    <w:rsid w:val="07B5125A"/>
    <w:rsid w:val="07E321D1"/>
    <w:rsid w:val="08E8228F"/>
    <w:rsid w:val="0A3C34DB"/>
    <w:rsid w:val="0AAD75E3"/>
    <w:rsid w:val="0AED0014"/>
    <w:rsid w:val="0BE67BA2"/>
    <w:rsid w:val="0FE16FFE"/>
    <w:rsid w:val="113E5890"/>
    <w:rsid w:val="115573E9"/>
    <w:rsid w:val="15356904"/>
    <w:rsid w:val="15676040"/>
    <w:rsid w:val="16593164"/>
    <w:rsid w:val="1752050D"/>
    <w:rsid w:val="17C83A62"/>
    <w:rsid w:val="18583BD5"/>
    <w:rsid w:val="18F82495"/>
    <w:rsid w:val="199F067B"/>
    <w:rsid w:val="1A7B6F9F"/>
    <w:rsid w:val="1AE479A2"/>
    <w:rsid w:val="1B943177"/>
    <w:rsid w:val="1DB501D6"/>
    <w:rsid w:val="1E390005"/>
    <w:rsid w:val="2129610F"/>
    <w:rsid w:val="219537A4"/>
    <w:rsid w:val="23AD74CB"/>
    <w:rsid w:val="242F72BF"/>
    <w:rsid w:val="24E22108"/>
    <w:rsid w:val="25341526"/>
    <w:rsid w:val="25C44658"/>
    <w:rsid w:val="28B45CDB"/>
    <w:rsid w:val="29AC3D81"/>
    <w:rsid w:val="2A4E11F7"/>
    <w:rsid w:val="2B0D0B1F"/>
    <w:rsid w:val="2E1614AC"/>
    <w:rsid w:val="2FDF3B50"/>
    <w:rsid w:val="2FFC15DF"/>
    <w:rsid w:val="303B19BB"/>
    <w:rsid w:val="30476EFE"/>
    <w:rsid w:val="30E16B6D"/>
    <w:rsid w:val="31286F6B"/>
    <w:rsid w:val="31893506"/>
    <w:rsid w:val="33396F17"/>
    <w:rsid w:val="350435C2"/>
    <w:rsid w:val="355E1232"/>
    <w:rsid w:val="35A67B39"/>
    <w:rsid w:val="37C03980"/>
    <w:rsid w:val="3C7F0697"/>
    <w:rsid w:val="3E083824"/>
    <w:rsid w:val="3EE60DD4"/>
    <w:rsid w:val="41A45D42"/>
    <w:rsid w:val="43580A8C"/>
    <w:rsid w:val="43D93CF6"/>
    <w:rsid w:val="45BE7A4B"/>
    <w:rsid w:val="469057C2"/>
    <w:rsid w:val="48DC1924"/>
    <w:rsid w:val="493E3DB2"/>
    <w:rsid w:val="49D679D8"/>
    <w:rsid w:val="49EA64D4"/>
    <w:rsid w:val="4A123335"/>
    <w:rsid w:val="4A44560A"/>
    <w:rsid w:val="4C117D31"/>
    <w:rsid w:val="4D057181"/>
    <w:rsid w:val="4EE2554F"/>
    <w:rsid w:val="4F245665"/>
    <w:rsid w:val="50E60563"/>
    <w:rsid w:val="51BF1611"/>
    <w:rsid w:val="51FD48CA"/>
    <w:rsid w:val="52AB07CA"/>
    <w:rsid w:val="54A42D62"/>
    <w:rsid w:val="554E4C83"/>
    <w:rsid w:val="5560764A"/>
    <w:rsid w:val="56994641"/>
    <w:rsid w:val="5A9658BC"/>
    <w:rsid w:val="5AC8016B"/>
    <w:rsid w:val="5B8B14C7"/>
    <w:rsid w:val="5D2B6790"/>
    <w:rsid w:val="5D5568A2"/>
    <w:rsid w:val="5DEA664B"/>
    <w:rsid w:val="5F0C439F"/>
    <w:rsid w:val="607C7302"/>
    <w:rsid w:val="60A8472B"/>
    <w:rsid w:val="653B6DB7"/>
    <w:rsid w:val="6556472E"/>
    <w:rsid w:val="68190258"/>
    <w:rsid w:val="68657C56"/>
    <w:rsid w:val="69C257AE"/>
    <w:rsid w:val="6AA53C38"/>
    <w:rsid w:val="6BDB75D3"/>
    <w:rsid w:val="6FB6638D"/>
    <w:rsid w:val="71285CA1"/>
    <w:rsid w:val="725B146D"/>
    <w:rsid w:val="755A0D1F"/>
    <w:rsid w:val="75CC12AE"/>
    <w:rsid w:val="764A5A81"/>
    <w:rsid w:val="788F00C3"/>
    <w:rsid w:val="79EB1329"/>
    <w:rsid w:val="7B5523F7"/>
    <w:rsid w:val="7C480CB4"/>
    <w:rsid w:val="7CB35B4D"/>
    <w:rsid w:val="7F3C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autoRedefine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3"/>
    <w:autoRedefine/>
    <w:qFormat/>
    <w:uiPriority w:val="99"/>
    <w:rPr>
      <w:rFonts w:ascii="宋体" w:hAnsi="宋体" w:cs="宋体"/>
      <w:sz w:val="18"/>
      <w:szCs w:val="18"/>
    </w:rPr>
  </w:style>
  <w:style w:type="character" w:customStyle="1" w:styleId="10">
    <w:name w:val="页脚 字符"/>
    <w:basedOn w:val="7"/>
    <w:link w:val="2"/>
    <w:autoRedefine/>
    <w:qFormat/>
    <w:uiPriority w:val="99"/>
    <w:rPr>
      <w:rFonts w:ascii="宋体" w:hAnsi="宋体" w:cs="宋体"/>
      <w:sz w:val="18"/>
      <w:szCs w:val="18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12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3">
    <w:name w:val="正文（自主）"/>
    <w:basedOn w:val="1"/>
    <w:qFormat/>
    <w:uiPriority w:val="0"/>
    <w:pPr>
      <w:spacing w:after="0"/>
    </w:pPr>
    <w:rPr>
      <w:rFonts w:ascii="Times New Roman" w:hAnsi="Times New Roman" w:eastAsia="宋体"/>
      <w:sz w:val="18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D3E56E8-B0D9-46D9-A0F4-BE7C3AD40C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1645</Words>
  <Characters>2126</Characters>
  <Lines>5</Lines>
  <Paragraphs>1</Paragraphs>
  <TotalTime>1</TotalTime>
  <ScaleCrop>false</ScaleCrop>
  <LinksUpToDate>false</LinksUpToDate>
  <CharactersWithSpaces>2218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2025-03-19T05:55:00Z</dcterms:created>
  <dc:creator>Administrator</dc:creator>
  <cp:lastModifiedBy>夢</cp:lastModifiedBy>
  <dcterms:modified xsi:type="dcterms:W3CDTF">2026-09-16T09:18:03Z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62D94F3AACBD45898055B9A3038ADA47_13</vt:lpwstr>
  </property>
  <property fmtid="{D5CDD505-2E9C-101B-9397-08002B2CF9AE}" pid="4" name="KSOTemplateDocerSaveRecord">
    <vt:lpwstr>eyJoZGlkIjoiN2NjZmZlNTQyMjg4NjkzNWRiN2IyOWE1NjgyYmZiNDQiLCJ1c2VySWQiOiIzMDg2NDM0NjAifQ==</vt:lpwstr>
  </property>
</Properties>
</file>